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《2022年自生酸体系采购》竞争性谈判邀请函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刘先生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 xml:space="preserve">    0838-5152451  </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  390743991@qq.com</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根据我公司生产需求，特邀贵公司参与《2022年自生酸体系采购》竞争性谈判，现就项目概况及竞争性谈判相关事宜函告如下：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（一）主要内容：《2022年自生酸体系采购》竞争性谈判。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rPr>
        <w:t>2年1月25日</w:t>
      </w:r>
      <w:r>
        <w:rPr>
          <w:rFonts w:ascii="方正仿宋简体" w:hAnsi="方正仿宋简体" w:eastAsia="方正仿宋简体"/>
          <w:szCs w:val="21"/>
        </w:rPr>
        <w:t>10</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rPr>
        <w:t>：采购</w:t>
      </w:r>
      <w:r>
        <w:rPr>
          <w:rFonts w:hint="eastAsia" w:ascii="方正仿宋简体" w:hAnsi="方正仿宋简体" w:eastAsia="方正仿宋简体"/>
          <w:szCs w:val="21"/>
          <w:lang w:val="en-US" w:eastAsia="zh-CN"/>
        </w:rPr>
        <w:t>一批</w:t>
      </w:r>
      <w:r>
        <w:rPr>
          <w:rFonts w:hint="eastAsia" w:ascii="方正仿宋简体" w:hAnsi="方正仿宋简体" w:eastAsia="方正仿宋简体"/>
          <w:szCs w:val="21"/>
        </w:rPr>
        <w:t>自生酸体系，甲方不作工作量承诺。</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要求：自生酸性能要求：</w:t>
      </w:r>
      <w:r>
        <w:rPr>
          <w:rFonts w:hint="eastAsia" w:ascii="方正仿宋简体" w:hAnsi="方正仿宋简体" w:eastAsia="方正仿宋简体"/>
          <w:szCs w:val="21"/>
          <w:lang w:val="en-US" w:eastAsia="zh-CN"/>
        </w:rPr>
        <w:t>（1）</w:t>
      </w:r>
      <w:r>
        <w:rPr>
          <w:rFonts w:hint="default" w:ascii="方正仿宋简体" w:hAnsi="方正仿宋简体" w:eastAsia="方正仿宋简体"/>
          <w:szCs w:val="21"/>
          <w:lang w:val="en-US" w:eastAsia="zh-CN"/>
        </w:rPr>
        <w:t>自生酸基液表观粘度：</w:t>
      </w:r>
      <w:r>
        <w:rPr>
          <w:rFonts w:hint="eastAsia" w:ascii="方正仿宋简体" w:hAnsi="方正仿宋简体" w:eastAsia="方正仿宋简体"/>
          <w:szCs w:val="21"/>
          <w:lang w:val="en-US" w:eastAsia="zh-CN"/>
        </w:rPr>
        <w:t>≥</w:t>
      </w:r>
      <w:r>
        <w:rPr>
          <w:rFonts w:hint="default" w:ascii="方正仿宋简体" w:hAnsi="方正仿宋简体" w:eastAsia="方正仿宋简体"/>
          <w:szCs w:val="21"/>
          <w:lang w:val="en-US" w:eastAsia="zh-CN"/>
        </w:rPr>
        <w:t>30.0mPa•s；</w:t>
      </w:r>
      <w:r>
        <w:rPr>
          <w:rFonts w:hint="eastAsia" w:ascii="方正仿宋简体" w:hAnsi="方正仿宋简体" w:eastAsia="方正仿宋简体"/>
          <w:szCs w:val="21"/>
          <w:lang w:val="en-US" w:eastAsia="zh-CN"/>
        </w:rPr>
        <w:t>（2）</w:t>
      </w:r>
      <w:r>
        <w:rPr>
          <w:rFonts w:hint="default" w:ascii="方正仿宋简体" w:hAnsi="方正仿宋简体" w:eastAsia="方正仿宋简体"/>
          <w:szCs w:val="21"/>
          <w:lang w:val="en-US" w:eastAsia="zh-CN"/>
        </w:rPr>
        <w:t>自生酸前置液交联液表观粘度：</w:t>
      </w:r>
      <w:r>
        <w:rPr>
          <w:rFonts w:hint="eastAsia" w:ascii="方正仿宋简体" w:hAnsi="方正仿宋简体" w:eastAsia="方正仿宋简体"/>
          <w:szCs w:val="21"/>
          <w:lang w:val="en-US" w:eastAsia="zh-CN"/>
        </w:rPr>
        <w:t>≥</w:t>
      </w:r>
      <w:r>
        <w:rPr>
          <w:rFonts w:hint="default" w:ascii="方正仿宋简体" w:hAnsi="方正仿宋简体" w:eastAsia="方正仿宋简体"/>
          <w:szCs w:val="21"/>
          <w:lang w:val="en-US" w:eastAsia="zh-CN"/>
        </w:rPr>
        <w:t>100mPa•s；</w:t>
      </w:r>
      <w:r>
        <w:rPr>
          <w:rFonts w:hint="eastAsia" w:ascii="方正仿宋简体" w:hAnsi="方正仿宋简体" w:eastAsia="方正仿宋简体"/>
          <w:szCs w:val="21"/>
          <w:lang w:val="en-US" w:eastAsia="zh-CN"/>
        </w:rPr>
        <w:t>（3）</w:t>
      </w:r>
      <w:r>
        <w:rPr>
          <w:rFonts w:hint="default" w:ascii="方正仿宋简体" w:hAnsi="方正仿宋简体" w:eastAsia="方正仿宋简体"/>
          <w:szCs w:val="21"/>
          <w:lang w:val="en-US" w:eastAsia="zh-CN"/>
        </w:rPr>
        <w:t>自生酸残夜表面张力：</w:t>
      </w:r>
      <w:r>
        <w:rPr>
          <w:rFonts w:hint="eastAsia" w:ascii="方正仿宋简体" w:hAnsi="方正仿宋简体" w:eastAsia="方正仿宋简体"/>
          <w:szCs w:val="21"/>
          <w:lang w:val="en-US" w:eastAsia="zh-CN"/>
        </w:rPr>
        <w:t>≤</w:t>
      </w:r>
      <w:r>
        <w:rPr>
          <w:rFonts w:hint="default" w:ascii="方正仿宋简体" w:hAnsi="方正仿宋简体" w:eastAsia="方正仿宋简体"/>
          <w:szCs w:val="21"/>
          <w:lang w:val="en-US" w:eastAsia="zh-CN"/>
        </w:rPr>
        <w:t>35mN/m；</w:t>
      </w:r>
      <w:r>
        <w:rPr>
          <w:rFonts w:hint="eastAsia" w:ascii="方正仿宋简体" w:hAnsi="方正仿宋简体" w:eastAsia="方正仿宋简体"/>
          <w:szCs w:val="21"/>
          <w:lang w:val="en-US" w:eastAsia="zh-CN"/>
        </w:rPr>
        <w:t>（4）</w:t>
      </w:r>
      <w:r>
        <w:rPr>
          <w:rFonts w:hint="default" w:ascii="方正仿宋简体" w:hAnsi="方正仿宋简体" w:eastAsia="方正仿宋简体"/>
          <w:szCs w:val="21"/>
          <w:lang w:val="en-US" w:eastAsia="zh-CN"/>
        </w:rPr>
        <w:t xml:space="preserve">氢离子释放率 </w:t>
      </w:r>
      <w:r>
        <w:rPr>
          <w:rFonts w:hint="eastAsia" w:ascii="方正仿宋简体" w:hAnsi="方正仿宋简体" w:eastAsia="方正仿宋简体"/>
          <w:szCs w:val="21"/>
          <w:lang w:val="en-US" w:eastAsia="zh-CN"/>
        </w:rPr>
        <w:t>≥</w:t>
      </w:r>
      <w:r>
        <w:rPr>
          <w:rFonts w:hint="default" w:ascii="方正仿宋简体" w:hAnsi="方正仿宋简体" w:eastAsia="方正仿宋简体"/>
          <w:szCs w:val="21"/>
          <w:lang w:val="en-US" w:eastAsia="zh-CN"/>
        </w:rPr>
        <w:t>5%；</w:t>
      </w:r>
      <w:r>
        <w:rPr>
          <w:rFonts w:hint="eastAsia" w:ascii="方正仿宋简体" w:hAnsi="方正仿宋简体" w:eastAsia="方正仿宋简体"/>
          <w:szCs w:val="21"/>
          <w:lang w:val="en-US" w:eastAsia="zh-CN"/>
        </w:rPr>
        <w:t>（5）</w:t>
      </w:r>
      <w:r>
        <w:rPr>
          <w:rFonts w:hint="default" w:ascii="方正仿宋简体" w:hAnsi="方正仿宋简体" w:eastAsia="方正仿宋简体"/>
          <w:szCs w:val="21"/>
          <w:lang w:val="en-US" w:eastAsia="zh-CN"/>
        </w:rPr>
        <w:t>几种工作液体配伍性能好，相互混合、以及与地层水混合后无沉淀生成。</w:t>
      </w:r>
      <w:bookmarkStart w:id="0" w:name="_GoBack"/>
      <w:bookmarkEnd w:id="0"/>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szCs w:val="21"/>
        </w:rPr>
        <w:t>（七）交货地点</w:t>
      </w:r>
      <w:r>
        <w:rPr>
          <w:rFonts w:hint="eastAsia" w:ascii="方正仿宋简体" w:hAnsi="方正仿宋简体" w:eastAsia="方正仿宋简体"/>
          <w:color w:val="auto"/>
          <w:szCs w:val="21"/>
        </w:rPr>
        <w:t>：</w:t>
      </w:r>
      <w:r>
        <w:rPr>
          <w:rFonts w:hint="eastAsia" w:ascii="方正仿宋简体" w:hAnsi="方正仿宋简体" w:eastAsia="方正仿宋简体"/>
          <w:color w:val="auto"/>
          <w:szCs w:val="21"/>
          <w:lang w:val="en-US" w:eastAsia="zh-CN"/>
        </w:rPr>
        <w:t>甲方指定地点</w:t>
      </w:r>
      <w:r>
        <w:rPr>
          <w:rFonts w:hint="eastAsia"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color w:val="FF0000"/>
          <w:szCs w:val="21"/>
        </w:rPr>
      </w:pPr>
      <w:r>
        <w:rPr>
          <w:rFonts w:hint="eastAsia" w:ascii="方正仿宋简体" w:hAnsi="方正仿宋简体" w:eastAsia="方正仿宋简体"/>
          <w:szCs w:val="21"/>
        </w:rPr>
        <w:t>（八）交货期</w:t>
      </w:r>
      <w:r>
        <w:rPr>
          <w:rFonts w:hint="eastAsia" w:ascii="方正仿宋简体" w:hAnsi="方正仿宋简体" w:eastAsia="方正仿宋简体"/>
          <w:color w:val="auto"/>
          <w:szCs w:val="21"/>
        </w:rPr>
        <w:t>限：</w:t>
      </w:r>
      <w:r>
        <w:rPr>
          <w:rFonts w:hint="eastAsia" w:ascii="方正仿宋简体" w:hAnsi="方正仿宋简体" w:eastAsia="方正仿宋简体"/>
          <w:color w:val="auto"/>
          <w:szCs w:val="21"/>
          <w:lang w:val="en-US" w:eastAsia="zh-CN"/>
        </w:rPr>
        <w:t>供货期为谈判之日起至</w:t>
      </w:r>
      <w:r>
        <w:rPr>
          <w:rFonts w:hint="eastAsia" w:ascii="方正仿宋简体" w:hAnsi="方正仿宋简体" w:eastAsia="方正仿宋简体"/>
          <w:color w:val="auto"/>
          <w:szCs w:val="21"/>
        </w:rPr>
        <w:t>2022年12月31日，</w:t>
      </w:r>
      <w:r>
        <w:rPr>
          <w:rFonts w:hint="eastAsia" w:ascii="方正仿宋简体" w:hAnsi="方正仿宋简体" w:eastAsia="方正仿宋简体"/>
          <w:color w:val="auto"/>
          <w:szCs w:val="21"/>
          <w:lang w:val="en-US" w:eastAsia="zh-CN"/>
        </w:rPr>
        <w:t>具体采购数</w:t>
      </w:r>
      <w:r>
        <w:rPr>
          <w:rFonts w:hint="eastAsia" w:ascii="方正仿宋简体" w:hAnsi="方正仿宋简体" w:eastAsia="方正仿宋简体"/>
          <w:szCs w:val="21"/>
          <w:lang w:val="en-US" w:eastAsia="zh-CN"/>
        </w:rPr>
        <w:t>量及交货时间以甲方委托为准。</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；2、具备一般纳税人资格；3、受邀单位类似项目的相关管理制度健全有效。</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（十）参与竞争性谈判准备资料详见《2022年自生酸体系采购竞争性谈判书》。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（十一）竞争性谈判确认函（见附件1）扫描件请于20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rPr>
        <w:t>2年1月24日下午17:00（北京时间）之前发往谈判文件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邮箱：390743991@qq.com，回函确认是否参与本次竞争性谈判。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rPr>
        <w:t>2年</w:t>
      </w:r>
      <w:r>
        <w:rPr>
          <w:rFonts w:ascii="方正仿宋简体" w:hAnsi="方正仿宋简体" w:eastAsia="方正仿宋简体"/>
          <w:b/>
          <w:sz w:val="30"/>
          <w:szCs w:val="30"/>
        </w:rPr>
        <w:t>1</w:t>
      </w:r>
      <w:r>
        <w:rPr>
          <w:rFonts w:hint="eastAsia" w:ascii="方正仿宋简体" w:hAnsi="方正仿宋简体" w:eastAsia="方正仿宋简体"/>
          <w:b/>
          <w:sz w:val="30"/>
          <w:szCs w:val="30"/>
        </w:rPr>
        <w:t>月20日</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《2022年自生酸体系采购》</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rPr>
        <w:t>2年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我公司已详细阅读《2022年自生酸体系采购》竞争性谈判邀请函，并确认按时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rPr>
        <w:t>2年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四川圣诺油气工程技术服务有限公司《2022年自生酸体系采购》竞争性谈判及合同签订等相关事宜。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《2022年自生酸体系采购》报价（第一轮）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102"/>
        <w:gridCol w:w="3296"/>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3102"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项目</w:t>
            </w:r>
          </w:p>
        </w:tc>
        <w:tc>
          <w:tcPr>
            <w:tcW w:w="329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单价（元/</w:t>
            </w:r>
            <w:r>
              <w:rPr>
                <w:rFonts w:ascii="方正仿宋简体" w:hAnsi="方正仿宋简体" w:eastAsia="方正仿宋简体" w:cs="宋体"/>
                <w:b/>
                <w:bCs/>
                <w:kern w:val="0"/>
                <w:szCs w:val="21"/>
              </w:rPr>
              <w:t>m</w:t>
            </w:r>
            <w:r>
              <w:rPr>
                <w:rFonts w:ascii="方正仿宋简体" w:hAnsi="方正仿宋简体" w:eastAsia="方正仿宋简体" w:cs="宋体"/>
                <w:b/>
                <w:bCs/>
                <w:kern w:val="0"/>
                <w:szCs w:val="21"/>
                <w:vertAlign w:val="superscript"/>
              </w:rPr>
              <w:t>3</w:t>
            </w:r>
            <w:r>
              <w:rPr>
                <w:rFonts w:hint="eastAsia" w:ascii="方正仿宋简体" w:hAnsi="方正仿宋简体" w:eastAsia="方正仿宋简体" w:cs="宋体"/>
                <w:b/>
                <w:bCs/>
                <w:kern w:val="0"/>
                <w:szCs w:val="21"/>
              </w:rPr>
              <w:t>）</w:t>
            </w:r>
          </w:p>
        </w:tc>
        <w:tc>
          <w:tcPr>
            <w:tcW w:w="290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3102" w:type="dxa"/>
            <w:shd w:val="clear" w:color="auto" w:fill="auto"/>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cs="宋体"/>
                <w:color w:val="000000"/>
                <w:kern w:val="0"/>
                <w:sz w:val="22"/>
                <w:szCs w:val="22"/>
              </w:rPr>
              <w:t>自生酸体系</w:t>
            </w:r>
          </w:p>
        </w:tc>
        <w:tc>
          <w:tcPr>
            <w:tcW w:w="3296" w:type="dxa"/>
            <w:vAlign w:val="center"/>
          </w:tcPr>
          <w:p>
            <w:pPr>
              <w:widowControl/>
              <w:jc w:val="center"/>
              <w:rPr>
                <w:rFonts w:ascii="方正仿宋简体" w:hAnsi="方正仿宋简体" w:eastAsia="方正仿宋简体" w:cs="宋体"/>
                <w:kern w:val="0"/>
                <w:szCs w:val="21"/>
              </w:rPr>
            </w:pPr>
          </w:p>
        </w:tc>
        <w:tc>
          <w:tcPr>
            <w:tcW w:w="290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kern w:val="0"/>
                <w:szCs w:val="21"/>
              </w:rPr>
              <w:t>包含1</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%增值税、运费、包装费、现场配液服务等所有费用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4"/>
          </w:tcPr>
          <w:p>
            <w:pPr>
              <w:widowControl/>
              <w:snapToGrid w:val="0"/>
              <w:spacing w:line="480" w:lineRule="exact"/>
              <w:jc w:val="left"/>
              <w:rPr>
                <w:rFonts w:ascii="方正仿宋简体" w:hAnsi="方正仿宋简体" w:eastAsia="方正仿宋简体" w:cs="宋体"/>
                <w:color w:val="FF0000"/>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olor w:val="auto"/>
                <w:szCs w:val="21"/>
                <w:lang w:val="en-US" w:eastAsia="zh-CN"/>
              </w:rPr>
              <w:t>供货期为谈判之日起至</w:t>
            </w:r>
            <w:r>
              <w:rPr>
                <w:rFonts w:hint="eastAsia" w:ascii="方正仿宋简体" w:hAnsi="方正仿宋简体" w:eastAsia="方正仿宋简体"/>
                <w:color w:val="auto"/>
                <w:szCs w:val="21"/>
              </w:rPr>
              <w:t>2022年12月31日，</w:t>
            </w:r>
            <w:r>
              <w:rPr>
                <w:rFonts w:hint="eastAsia" w:ascii="方正仿宋简体" w:hAnsi="方正仿宋简体" w:eastAsia="方正仿宋简体"/>
                <w:color w:val="auto"/>
                <w:szCs w:val="21"/>
                <w:lang w:val="en-US" w:eastAsia="zh-CN"/>
              </w:rPr>
              <w:t>具体采购数</w:t>
            </w:r>
            <w:r>
              <w:rPr>
                <w:rFonts w:hint="eastAsia" w:ascii="方正仿宋简体" w:hAnsi="方正仿宋简体" w:eastAsia="方正仿宋简体"/>
                <w:szCs w:val="21"/>
                <w:lang w:val="en-US" w:eastAsia="zh-CN"/>
              </w:rPr>
              <w:t>量及交货时间以甲方委托为准；</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w:t>
            </w:r>
            <w:r>
              <w:rPr>
                <w:rFonts w:hint="eastAsia" w:ascii="方正仿宋简体" w:hAnsi="方正仿宋简体" w:eastAsia="方正仿宋简体" w:cs="宋体"/>
                <w:color w:val="auto"/>
                <w:kern w:val="0"/>
                <w:szCs w:val="21"/>
              </w:rPr>
              <w:t>点：</w:t>
            </w:r>
            <w:r>
              <w:rPr>
                <w:rFonts w:hint="eastAsia" w:ascii="方正仿宋简体" w:hAnsi="方正仿宋简体" w:eastAsia="方正仿宋简体" w:cs="宋体"/>
                <w:color w:val="auto"/>
                <w:kern w:val="0"/>
                <w:szCs w:val="21"/>
                <w:lang w:val="en-US" w:eastAsia="zh-CN"/>
              </w:rPr>
              <w:t>甲方指定地点</w:t>
            </w:r>
            <w:r>
              <w:rPr>
                <w:rFonts w:hint="eastAsia" w:ascii="方正仿宋简体" w:hAnsi="方正仿宋简体" w:eastAsia="方正仿宋简体" w:cs="宋体"/>
                <w:color w:val="auto"/>
                <w:kern w:val="0"/>
                <w:szCs w:val="21"/>
              </w:rPr>
              <w:t>；</w:t>
            </w:r>
          </w:p>
          <w:p>
            <w:pPr>
              <w:widowControl/>
              <w:snapToGrid w:val="0"/>
              <w:spacing w:line="480" w:lineRule="exact"/>
              <w:ind w:firstLine="420"/>
              <w:jc w:val="left"/>
              <w:rPr>
                <w:rFonts w:ascii="方正仿宋简体" w:hAnsi="方正仿宋简体" w:eastAsia="方正仿宋简体" w:cs="宋体"/>
                <w:kern w:val="0"/>
                <w:szCs w:val="21"/>
              </w:rPr>
            </w:pPr>
            <w:r>
              <w:rPr>
                <w:rFonts w:ascii="方正仿宋简体" w:hAnsi="方正仿宋简体" w:eastAsia="方正仿宋简体" w:cs="宋体"/>
                <w:kern w:val="0"/>
                <w:szCs w:val="21"/>
              </w:rPr>
              <w:t>4</w:t>
            </w: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4"/>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8240"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D69BA"/>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77EA0"/>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95C94"/>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42B54556"/>
    <w:rsid w:val="58306600"/>
    <w:rsid w:val="7318309B"/>
    <w:rsid w:val="775A4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qFormat/>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8</Pages>
  <Words>438</Words>
  <Characters>2499</Characters>
  <Lines>20</Lines>
  <Paragraphs>5</Paragraphs>
  <TotalTime>0</TotalTime>
  <ScaleCrop>false</ScaleCrop>
  <LinksUpToDate>false</LinksUpToDate>
  <CharactersWithSpaces>2932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Lenovo</cp:lastModifiedBy>
  <cp:lastPrinted>2018-06-27T07:25:00Z</cp:lastPrinted>
  <dcterms:modified xsi:type="dcterms:W3CDTF">2022-01-21T07:14:29Z</dcterms:modified>
  <dc:title>询  价  函</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